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DBA" w:rsidRDefault="00105DBA" w:rsidP="00105DBA">
      <w:pPr>
        <w:jc w:val="left"/>
        <w:rPr>
          <w:sz w:val="24"/>
          <w:szCs w:val="24"/>
        </w:rPr>
      </w:pPr>
      <w:bookmarkStart w:id="0" w:name="_GoBack"/>
      <w:bookmarkEnd w:id="0"/>
      <w:r>
        <w:rPr>
          <w:rFonts w:hint="eastAsia"/>
          <w:sz w:val="24"/>
          <w:szCs w:val="24"/>
        </w:rPr>
        <w:t>別記様式第</w:t>
      </w:r>
      <w:r>
        <w:rPr>
          <w:rFonts w:hint="eastAsia"/>
          <w:sz w:val="24"/>
          <w:szCs w:val="24"/>
        </w:rPr>
        <w:t>1</w:t>
      </w:r>
      <w:r>
        <w:rPr>
          <w:rFonts w:hint="eastAsia"/>
          <w:sz w:val="24"/>
          <w:szCs w:val="24"/>
        </w:rPr>
        <w:t>号</w:t>
      </w:r>
    </w:p>
    <w:p w:rsidR="00105DBA" w:rsidRDefault="004051E7" w:rsidP="00105DBA">
      <w:pPr>
        <w:jc w:val="center"/>
        <w:rPr>
          <w:sz w:val="24"/>
          <w:szCs w:val="24"/>
        </w:rPr>
      </w:pPr>
      <w:r>
        <w:rPr>
          <w:rFonts w:hint="eastAsia"/>
          <w:sz w:val="24"/>
          <w:szCs w:val="24"/>
        </w:rPr>
        <w:t>制限</w:t>
      </w:r>
      <w:r w:rsidR="00105DBA">
        <w:rPr>
          <w:rFonts w:hint="eastAsia"/>
          <w:sz w:val="24"/>
          <w:szCs w:val="24"/>
        </w:rPr>
        <w:t>付き一般競争入札共通事項</w:t>
      </w:r>
    </w:p>
    <w:p w:rsidR="00105DBA" w:rsidRDefault="00105DBA" w:rsidP="00105DBA">
      <w:pPr>
        <w:jc w:val="left"/>
        <w:rPr>
          <w:sz w:val="24"/>
          <w:szCs w:val="24"/>
        </w:rPr>
      </w:pPr>
      <w:r>
        <w:rPr>
          <w:rFonts w:hint="eastAsia"/>
          <w:sz w:val="24"/>
          <w:szCs w:val="24"/>
        </w:rPr>
        <w:t>１　入札に参加できる者に必要な資格要件</w:t>
      </w:r>
    </w:p>
    <w:p w:rsidR="00105DBA" w:rsidRDefault="00105DBA" w:rsidP="00105DBA">
      <w:pPr>
        <w:jc w:val="left"/>
        <w:rPr>
          <w:sz w:val="24"/>
          <w:szCs w:val="24"/>
        </w:rPr>
      </w:pPr>
      <w:r>
        <w:rPr>
          <w:rFonts w:hint="eastAsia"/>
          <w:sz w:val="24"/>
          <w:szCs w:val="24"/>
        </w:rPr>
        <w:t xml:space="preserve">　　　入札参加申請時において次に掲げる要件を満たしていること。</w:t>
      </w:r>
    </w:p>
    <w:p w:rsidR="00105DBA" w:rsidRDefault="00105DBA" w:rsidP="00105DBA">
      <w:pPr>
        <w:pStyle w:val="a3"/>
        <w:numPr>
          <w:ilvl w:val="0"/>
          <w:numId w:val="1"/>
        </w:numPr>
        <w:ind w:leftChars="0"/>
        <w:jc w:val="left"/>
        <w:rPr>
          <w:sz w:val="24"/>
          <w:szCs w:val="24"/>
        </w:rPr>
      </w:pPr>
      <w:r w:rsidRPr="00B37506">
        <w:rPr>
          <w:rFonts w:hint="eastAsia"/>
          <w:sz w:val="24"/>
          <w:szCs w:val="24"/>
        </w:rPr>
        <w:t>地方自治法施行令（昭和</w:t>
      </w:r>
      <w:r w:rsidRPr="00B37506">
        <w:rPr>
          <w:rFonts w:hint="eastAsia"/>
          <w:sz w:val="24"/>
          <w:szCs w:val="24"/>
        </w:rPr>
        <w:t>22</w:t>
      </w:r>
      <w:r w:rsidRPr="00B37506">
        <w:rPr>
          <w:rFonts w:hint="eastAsia"/>
          <w:sz w:val="24"/>
          <w:szCs w:val="24"/>
        </w:rPr>
        <w:t>年政令第</w:t>
      </w:r>
      <w:r w:rsidRPr="00B37506">
        <w:rPr>
          <w:rFonts w:hint="eastAsia"/>
          <w:sz w:val="24"/>
          <w:szCs w:val="24"/>
        </w:rPr>
        <w:t>16</w:t>
      </w:r>
      <w:r w:rsidRPr="00B37506">
        <w:rPr>
          <w:rFonts w:hint="eastAsia"/>
          <w:sz w:val="24"/>
          <w:szCs w:val="24"/>
        </w:rPr>
        <w:t>号。以下「自治法施行令」という。）第</w:t>
      </w:r>
      <w:r w:rsidRPr="00B37506">
        <w:rPr>
          <w:rFonts w:hint="eastAsia"/>
          <w:sz w:val="24"/>
          <w:szCs w:val="24"/>
        </w:rPr>
        <w:t>167</w:t>
      </w:r>
      <w:r w:rsidRPr="00B37506">
        <w:rPr>
          <w:rFonts w:hint="eastAsia"/>
          <w:sz w:val="24"/>
          <w:szCs w:val="24"/>
        </w:rPr>
        <w:t>条の</w:t>
      </w:r>
      <w:r w:rsidRPr="00B37506">
        <w:rPr>
          <w:rFonts w:hint="eastAsia"/>
          <w:sz w:val="24"/>
          <w:szCs w:val="24"/>
        </w:rPr>
        <w:t>4</w:t>
      </w:r>
      <w:r>
        <w:rPr>
          <w:rFonts w:hint="eastAsia"/>
          <w:sz w:val="24"/>
          <w:szCs w:val="24"/>
        </w:rPr>
        <w:t>第</w:t>
      </w:r>
      <w:r>
        <w:rPr>
          <w:rFonts w:hint="eastAsia"/>
          <w:sz w:val="24"/>
          <w:szCs w:val="24"/>
        </w:rPr>
        <w:t>1</w:t>
      </w:r>
      <w:r>
        <w:rPr>
          <w:rFonts w:hint="eastAsia"/>
          <w:sz w:val="24"/>
          <w:szCs w:val="24"/>
        </w:rPr>
        <w:t>項の規定に該当し</w:t>
      </w:r>
      <w:r w:rsidRPr="00B37506">
        <w:rPr>
          <w:rFonts w:hint="eastAsia"/>
          <w:sz w:val="24"/>
          <w:szCs w:val="24"/>
        </w:rPr>
        <w:t>ないこと。</w:t>
      </w:r>
    </w:p>
    <w:p w:rsidR="00105DBA" w:rsidRDefault="00105DBA" w:rsidP="00105DBA">
      <w:pPr>
        <w:pStyle w:val="a3"/>
        <w:numPr>
          <w:ilvl w:val="0"/>
          <w:numId w:val="1"/>
        </w:numPr>
        <w:ind w:leftChars="0"/>
        <w:jc w:val="left"/>
        <w:rPr>
          <w:sz w:val="24"/>
          <w:szCs w:val="24"/>
        </w:rPr>
      </w:pPr>
      <w:r>
        <w:rPr>
          <w:rFonts w:hint="eastAsia"/>
          <w:sz w:val="24"/>
          <w:szCs w:val="24"/>
        </w:rPr>
        <w:t>自治法施行令第</w:t>
      </w:r>
      <w:r>
        <w:rPr>
          <w:rFonts w:hint="eastAsia"/>
          <w:sz w:val="24"/>
          <w:szCs w:val="24"/>
        </w:rPr>
        <w:t>167</w:t>
      </w:r>
      <w:r>
        <w:rPr>
          <w:rFonts w:hint="eastAsia"/>
          <w:sz w:val="24"/>
          <w:szCs w:val="24"/>
        </w:rPr>
        <w:t>条の</w:t>
      </w:r>
      <w:r>
        <w:rPr>
          <w:rFonts w:hint="eastAsia"/>
          <w:sz w:val="24"/>
          <w:szCs w:val="24"/>
        </w:rPr>
        <w:t>4</w:t>
      </w:r>
      <w:r>
        <w:rPr>
          <w:rFonts w:hint="eastAsia"/>
          <w:sz w:val="24"/>
          <w:szCs w:val="24"/>
        </w:rPr>
        <w:t>第</w:t>
      </w:r>
      <w:r>
        <w:rPr>
          <w:rFonts w:hint="eastAsia"/>
          <w:sz w:val="24"/>
          <w:szCs w:val="24"/>
        </w:rPr>
        <w:t>2</w:t>
      </w:r>
      <w:r>
        <w:rPr>
          <w:rFonts w:hint="eastAsia"/>
          <w:sz w:val="24"/>
          <w:szCs w:val="24"/>
        </w:rPr>
        <w:t>項の規定に基づく</w:t>
      </w:r>
      <w:r w:rsidR="004051E7">
        <w:rPr>
          <w:rFonts w:hint="eastAsia"/>
          <w:sz w:val="24"/>
          <w:szCs w:val="24"/>
        </w:rPr>
        <w:t>栃木県及び県内市町</w:t>
      </w:r>
      <w:r>
        <w:rPr>
          <w:rFonts w:hint="eastAsia"/>
          <w:sz w:val="24"/>
          <w:szCs w:val="24"/>
        </w:rPr>
        <w:t>の入札参加制限を受けていないこと。</w:t>
      </w:r>
    </w:p>
    <w:p w:rsidR="00105DBA" w:rsidRDefault="004051E7" w:rsidP="00105DBA">
      <w:pPr>
        <w:pStyle w:val="a3"/>
        <w:numPr>
          <w:ilvl w:val="0"/>
          <w:numId w:val="1"/>
        </w:numPr>
        <w:ind w:leftChars="0"/>
        <w:jc w:val="left"/>
        <w:rPr>
          <w:sz w:val="24"/>
          <w:szCs w:val="24"/>
        </w:rPr>
      </w:pPr>
      <w:r>
        <w:rPr>
          <w:rFonts w:hint="eastAsia"/>
          <w:sz w:val="24"/>
          <w:szCs w:val="24"/>
        </w:rPr>
        <w:t>栃木県及び県内市町の</w:t>
      </w:r>
      <w:r w:rsidR="00105DBA">
        <w:rPr>
          <w:rFonts w:hint="eastAsia"/>
          <w:sz w:val="24"/>
          <w:szCs w:val="24"/>
        </w:rPr>
        <w:t>指名停止期間中でないこと。</w:t>
      </w:r>
    </w:p>
    <w:p w:rsidR="00105DBA" w:rsidRPr="00B37506" w:rsidRDefault="00105DBA" w:rsidP="00105DBA">
      <w:pPr>
        <w:pStyle w:val="a3"/>
        <w:numPr>
          <w:ilvl w:val="0"/>
          <w:numId w:val="1"/>
        </w:numPr>
        <w:ind w:leftChars="0"/>
        <w:jc w:val="left"/>
        <w:rPr>
          <w:sz w:val="24"/>
          <w:szCs w:val="24"/>
        </w:rPr>
      </w:pPr>
      <w:r>
        <w:rPr>
          <w:rFonts w:hint="eastAsia"/>
          <w:sz w:val="24"/>
          <w:szCs w:val="24"/>
        </w:rPr>
        <w:t>会社更生法に基づき更正開始の申立がなされている者又は民事再生法の再生手続き開始の申立がなされている者（ただし、会社更生法に基づく更正計画又は民事再生法の再生計画について、裁判所の認可決定を受けた者を除く。）でないこと。</w:t>
      </w:r>
    </w:p>
    <w:p w:rsidR="00105DBA" w:rsidRDefault="00105DBA" w:rsidP="00105DBA">
      <w:pPr>
        <w:pStyle w:val="a3"/>
        <w:numPr>
          <w:ilvl w:val="0"/>
          <w:numId w:val="1"/>
        </w:numPr>
        <w:ind w:leftChars="0"/>
        <w:jc w:val="left"/>
        <w:rPr>
          <w:sz w:val="24"/>
          <w:szCs w:val="24"/>
        </w:rPr>
      </w:pPr>
      <w:r>
        <w:rPr>
          <w:rFonts w:hint="eastAsia"/>
          <w:sz w:val="24"/>
          <w:szCs w:val="24"/>
        </w:rPr>
        <w:t>警察当局から、暴力団員が実質的に経営を支配する建設業者又はこれに準ずるものとして、公共工事からの排除要請があり、当該状態が継続している者でないこと。</w:t>
      </w:r>
    </w:p>
    <w:p w:rsidR="00105DBA" w:rsidRDefault="004051E7" w:rsidP="00105DBA">
      <w:pPr>
        <w:jc w:val="left"/>
        <w:rPr>
          <w:sz w:val="24"/>
          <w:szCs w:val="24"/>
        </w:rPr>
      </w:pPr>
      <w:r>
        <w:rPr>
          <w:rFonts w:hint="eastAsia"/>
          <w:sz w:val="24"/>
          <w:szCs w:val="24"/>
        </w:rPr>
        <w:t>２</w:t>
      </w:r>
      <w:r w:rsidR="00105DBA">
        <w:rPr>
          <w:rFonts w:hint="eastAsia"/>
          <w:sz w:val="24"/>
          <w:szCs w:val="24"/>
        </w:rPr>
        <w:t xml:space="preserve">　現場説明会</w:t>
      </w:r>
    </w:p>
    <w:p w:rsidR="00105DBA" w:rsidRDefault="00105DBA" w:rsidP="00105DBA">
      <w:pPr>
        <w:jc w:val="left"/>
        <w:rPr>
          <w:sz w:val="24"/>
          <w:szCs w:val="24"/>
        </w:rPr>
      </w:pPr>
      <w:r>
        <w:rPr>
          <w:rFonts w:hint="eastAsia"/>
          <w:sz w:val="24"/>
          <w:szCs w:val="24"/>
        </w:rPr>
        <w:t xml:space="preserve">　　行わない。</w:t>
      </w:r>
    </w:p>
    <w:p w:rsidR="00105DBA" w:rsidRDefault="004051E7" w:rsidP="00105DBA">
      <w:pPr>
        <w:jc w:val="left"/>
        <w:rPr>
          <w:sz w:val="24"/>
          <w:szCs w:val="24"/>
        </w:rPr>
      </w:pPr>
      <w:r>
        <w:rPr>
          <w:rFonts w:hint="eastAsia"/>
          <w:sz w:val="24"/>
          <w:szCs w:val="24"/>
        </w:rPr>
        <w:t>３</w:t>
      </w:r>
      <w:r w:rsidR="00105DBA">
        <w:rPr>
          <w:rFonts w:hint="eastAsia"/>
          <w:sz w:val="24"/>
          <w:szCs w:val="24"/>
        </w:rPr>
        <w:t xml:space="preserve">　入札方法</w:t>
      </w:r>
    </w:p>
    <w:p w:rsidR="00105DBA" w:rsidRPr="004051E7" w:rsidRDefault="00105DBA" w:rsidP="00105DBA">
      <w:pPr>
        <w:pStyle w:val="a3"/>
        <w:numPr>
          <w:ilvl w:val="0"/>
          <w:numId w:val="4"/>
        </w:numPr>
        <w:ind w:leftChars="0"/>
        <w:jc w:val="left"/>
        <w:rPr>
          <w:sz w:val="24"/>
          <w:szCs w:val="24"/>
        </w:rPr>
      </w:pPr>
      <w:r w:rsidRPr="004051E7">
        <w:rPr>
          <w:rFonts w:hint="eastAsia"/>
          <w:sz w:val="24"/>
          <w:szCs w:val="24"/>
        </w:rPr>
        <w:t>入札は</w:t>
      </w:r>
      <w:r w:rsidR="004051E7" w:rsidRPr="004051E7">
        <w:rPr>
          <w:rFonts w:hint="eastAsia"/>
          <w:sz w:val="24"/>
          <w:szCs w:val="24"/>
        </w:rPr>
        <w:t>、入札公告に記載の到達期限日までに郵送（一般・簡易書留郵便）又は持参により</w:t>
      </w:r>
      <w:r w:rsidRPr="004051E7">
        <w:rPr>
          <w:rFonts w:hint="eastAsia"/>
          <w:sz w:val="24"/>
          <w:szCs w:val="24"/>
        </w:rPr>
        <w:t>入札書を提出するものと</w:t>
      </w:r>
      <w:r w:rsidR="004051E7" w:rsidRPr="004051E7">
        <w:rPr>
          <w:rFonts w:hint="eastAsia"/>
          <w:sz w:val="24"/>
          <w:szCs w:val="24"/>
        </w:rPr>
        <w:t>する。</w:t>
      </w:r>
      <w:r w:rsidRPr="004051E7">
        <w:rPr>
          <w:rFonts w:hint="eastAsia"/>
          <w:sz w:val="24"/>
          <w:szCs w:val="24"/>
        </w:rPr>
        <w:t>なお、</w:t>
      </w:r>
      <w:r w:rsidR="004051E7" w:rsidRPr="004051E7">
        <w:rPr>
          <w:rFonts w:hint="eastAsia"/>
          <w:sz w:val="24"/>
          <w:szCs w:val="24"/>
        </w:rPr>
        <w:t>提出</w:t>
      </w:r>
      <w:r w:rsidRPr="004051E7">
        <w:rPr>
          <w:rFonts w:hint="eastAsia"/>
          <w:sz w:val="24"/>
          <w:szCs w:val="24"/>
        </w:rPr>
        <w:t>者が代理人であるときは、委任状を提出すること。委任状は任意様式で可とする。</w:t>
      </w:r>
    </w:p>
    <w:p w:rsidR="00105DBA" w:rsidRDefault="00105DBA" w:rsidP="00105DBA">
      <w:pPr>
        <w:pStyle w:val="a3"/>
        <w:numPr>
          <w:ilvl w:val="0"/>
          <w:numId w:val="4"/>
        </w:numPr>
        <w:ind w:leftChars="0"/>
        <w:jc w:val="left"/>
        <w:rPr>
          <w:sz w:val="24"/>
          <w:szCs w:val="24"/>
        </w:rPr>
      </w:pPr>
      <w:r>
        <w:rPr>
          <w:rFonts w:hint="eastAsia"/>
          <w:sz w:val="24"/>
          <w:szCs w:val="24"/>
        </w:rPr>
        <w:t>入札書は、</w:t>
      </w:r>
      <w:r w:rsidR="004051E7">
        <w:rPr>
          <w:rFonts w:hint="eastAsia"/>
          <w:sz w:val="24"/>
          <w:szCs w:val="24"/>
        </w:rPr>
        <w:t>栃木県後期高齢者医療広域連合</w:t>
      </w:r>
      <w:r>
        <w:rPr>
          <w:rFonts w:hint="eastAsia"/>
          <w:sz w:val="24"/>
          <w:szCs w:val="24"/>
        </w:rPr>
        <w:t>の指定様式を使用すること。</w:t>
      </w:r>
    </w:p>
    <w:p w:rsidR="00105DBA" w:rsidRDefault="00105DBA" w:rsidP="00105DBA">
      <w:pPr>
        <w:pStyle w:val="a3"/>
        <w:numPr>
          <w:ilvl w:val="0"/>
          <w:numId w:val="4"/>
        </w:numPr>
        <w:ind w:leftChars="0"/>
        <w:jc w:val="left"/>
        <w:rPr>
          <w:sz w:val="24"/>
          <w:szCs w:val="24"/>
        </w:rPr>
      </w:pPr>
      <w:r>
        <w:rPr>
          <w:rFonts w:hint="eastAsia"/>
          <w:sz w:val="24"/>
          <w:szCs w:val="24"/>
        </w:rPr>
        <w:t>入札に際しては、地方自治法（昭和</w:t>
      </w:r>
      <w:r>
        <w:rPr>
          <w:rFonts w:hint="eastAsia"/>
          <w:sz w:val="24"/>
          <w:szCs w:val="24"/>
        </w:rPr>
        <w:t>22</w:t>
      </w:r>
      <w:r>
        <w:rPr>
          <w:rFonts w:hint="eastAsia"/>
          <w:sz w:val="24"/>
          <w:szCs w:val="24"/>
        </w:rPr>
        <w:t>年法律第</w:t>
      </w:r>
      <w:r>
        <w:rPr>
          <w:rFonts w:hint="eastAsia"/>
          <w:sz w:val="24"/>
          <w:szCs w:val="24"/>
        </w:rPr>
        <w:t>67</w:t>
      </w:r>
      <w:r>
        <w:rPr>
          <w:rFonts w:hint="eastAsia"/>
          <w:sz w:val="24"/>
          <w:szCs w:val="24"/>
        </w:rPr>
        <w:t>号）、自治法施行令等の関係法令を遵守すること。</w:t>
      </w:r>
    </w:p>
    <w:p w:rsidR="00105DBA" w:rsidRDefault="00105DBA" w:rsidP="00105DBA">
      <w:pPr>
        <w:pStyle w:val="a3"/>
        <w:numPr>
          <w:ilvl w:val="0"/>
          <w:numId w:val="4"/>
        </w:numPr>
        <w:ind w:leftChars="0"/>
        <w:jc w:val="left"/>
        <w:rPr>
          <w:sz w:val="24"/>
          <w:szCs w:val="24"/>
        </w:rPr>
      </w:pPr>
      <w:r>
        <w:rPr>
          <w:rFonts w:hint="eastAsia"/>
          <w:sz w:val="24"/>
          <w:szCs w:val="24"/>
        </w:rPr>
        <w:t>入札に際しては、私的独占の禁止及び公正取引の確保に関する法律（昭和</w:t>
      </w:r>
      <w:r>
        <w:rPr>
          <w:rFonts w:hint="eastAsia"/>
          <w:sz w:val="24"/>
          <w:szCs w:val="24"/>
        </w:rPr>
        <w:t>22</w:t>
      </w:r>
      <w:r>
        <w:rPr>
          <w:rFonts w:hint="eastAsia"/>
          <w:sz w:val="24"/>
          <w:szCs w:val="24"/>
        </w:rPr>
        <w:t>年法律第</w:t>
      </w:r>
      <w:r>
        <w:rPr>
          <w:rFonts w:hint="eastAsia"/>
          <w:sz w:val="24"/>
          <w:szCs w:val="24"/>
        </w:rPr>
        <w:t>54</w:t>
      </w:r>
      <w:r>
        <w:rPr>
          <w:rFonts w:hint="eastAsia"/>
          <w:sz w:val="24"/>
          <w:szCs w:val="24"/>
        </w:rPr>
        <w:t>号）等に抵触する行為をしないこと。</w:t>
      </w:r>
    </w:p>
    <w:p w:rsidR="00105DBA" w:rsidRDefault="00105DBA" w:rsidP="00105DBA">
      <w:pPr>
        <w:pStyle w:val="a3"/>
        <w:numPr>
          <w:ilvl w:val="0"/>
          <w:numId w:val="4"/>
        </w:numPr>
        <w:ind w:leftChars="0"/>
        <w:jc w:val="left"/>
        <w:rPr>
          <w:sz w:val="24"/>
          <w:szCs w:val="24"/>
        </w:rPr>
      </w:pPr>
      <w:r w:rsidRPr="00170728">
        <w:rPr>
          <w:rFonts w:hint="eastAsia"/>
          <w:sz w:val="24"/>
          <w:szCs w:val="24"/>
        </w:rPr>
        <w:t>落札決定に当たっては、入札書に記載された金額に</w:t>
      </w:r>
      <w:r w:rsidRPr="00170728">
        <w:rPr>
          <w:rFonts w:hint="eastAsia"/>
          <w:sz w:val="24"/>
          <w:szCs w:val="24"/>
        </w:rPr>
        <w:t>100</w:t>
      </w:r>
      <w:r w:rsidRPr="00170728">
        <w:rPr>
          <w:rFonts w:hint="eastAsia"/>
          <w:sz w:val="24"/>
          <w:szCs w:val="24"/>
        </w:rPr>
        <w:t>分の</w:t>
      </w:r>
      <w:r w:rsidR="00067324" w:rsidRPr="00170728">
        <w:rPr>
          <w:rFonts w:hint="eastAsia"/>
          <w:sz w:val="24"/>
          <w:szCs w:val="24"/>
        </w:rPr>
        <w:t>10</w:t>
      </w:r>
      <w:r w:rsidRPr="00170728">
        <w:rPr>
          <w:rFonts w:hint="eastAsia"/>
          <w:sz w:val="24"/>
          <w:szCs w:val="24"/>
        </w:rPr>
        <w:t>に相当する額を加算した金額（当該金額に</w:t>
      </w:r>
      <w:r w:rsidRPr="00170728">
        <w:rPr>
          <w:rFonts w:hint="eastAsia"/>
          <w:sz w:val="24"/>
          <w:szCs w:val="24"/>
        </w:rPr>
        <w:t>1</w:t>
      </w:r>
      <w:r w:rsidRPr="00170728">
        <w:rPr>
          <w:rFonts w:hint="eastAsia"/>
          <w:sz w:val="24"/>
          <w:szCs w:val="24"/>
        </w:rPr>
        <w:t>円未満の端数があるときは、その端数金額を切り捨てた金額）をもって落札金額とするので、入札者は、消費税及び地方消費税に係る課税事業者であるか免税事業者であるかを問わず、見積もった契約希望金額の</w:t>
      </w:r>
      <w:r w:rsidRPr="00170728">
        <w:rPr>
          <w:rFonts w:hint="eastAsia"/>
          <w:sz w:val="24"/>
          <w:szCs w:val="24"/>
        </w:rPr>
        <w:t>1</w:t>
      </w:r>
      <w:r w:rsidR="00067324" w:rsidRPr="00170728">
        <w:rPr>
          <w:rFonts w:hint="eastAsia"/>
          <w:sz w:val="24"/>
          <w:szCs w:val="24"/>
        </w:rPr>
        <w:t>10</w:t>
      </w:r>
      <w:r w:rsidRPr="00170728">
        <w:rPr>
          <w:rFonts w:hint="eastAsia"/>
          <w:sz w:val="24"/>
          <w:szCs w:val="24"/>
        </w:rPr>
        <w:t>分の</w:t>
      </w:r>
      <w:r w:rsidRPr="00170728">
        <w:rPr>
          <w:rFonts w:hint="eastAsia"/>
          <w:sz w:val="24"/>
          <w:szCs w:val="24"/>
        </w:rPr>
        <w:t>100</w:t>
      </w:r>
      <w:r w:rsidRPr="00170728">
        <w:rPr>
          <w:rFonts w:hint="eastAsia"/>
          <w:sz w:val="24"/>
          <w:szCs w:val="24"/>
        </w:rPr>
        <w:t>に相当する金額を入札書に記載すること。</w:t>
      </w:r>
    </w:p>
    <w:p w:rsidR="00105DBA" w:rsidRDefault="00105DBA" w:rsidP="00105DBA">
      <w:pPr>
        <w:pStyle w:val="a3"/>
        <w:numPr>
          <w:ilvl w:val="0"/>
          <w:numId w:val="4"/>
        </w:numPr>
        <w:ind w:leftChars="0"/>
        <w:jc w:val="left"/>
        <w:rPr>
          <w:sz w:val="24"/>
          <w:szCs w:val="24"/>
        </w:rPr>
      </w:pPr>
      <w:r>
        <w:rPr>
          <w:rFonts w:hint="eastAsia"/>
          <w:sz w:val="24"/>
          <w:szCs w:val="24"/>
        </w:rPr>
        <w:t>提出した入札書の引換え、又は変更は認めない。</w:t>
      </w:r>
    </w:p>
    <w:p w:rsidR="00105DBA" w:rsidRDefault="00105DBA" w:rsidP="00105DBA">
      <w:pPr>
        <w:pStyle w:val="a3"/>
        <w:numPr>
          <w:ilvl w:val="0"/>
          <w:numId w:val="4"/>
        </w:numPr>
        <w:ind w:leftChars="0"/>
        <w:jc w:val="left"/>
        <w:rPr>
          <w:sz w:val="24"/>
          <w:szCs w:val="24"/>
        </w:rPr>
      </w:pPr>
      <w:r>
        <w:rPr>
          <w:rFonts w:hint="eastAsia"/>
          <w:sz w:val="24"/>
          <w:szCs w:val="24"/>
        </w:rPr>
        <w:t>入札回数は</w:t>
      </w:r>
      <w:r>
        <w:rPr>
          <w:rFonts w:hint="eastAsia"/>
          <w:sz w:val="24"/>
          <w:szCs w:val="24"/>
        </w:rPr>
        <w:t>1</w:t>
      </w:r>
      <w:r>
        <w:rPr>
          <w:rFonts w:hint="eastAsia"/>
          <w:sz w:val="24"/>
          <w:szCs w:val="24"/>
        </w:rPr>
        <w:t>回とする。</w:t>
      </w:r>
    </w:p>
    <w:p w:rsidR="00105DBA" w:rsidRDefault="00105DBA" w:rsidP="00105DBA">
      <w:pPr>
        <w:pStyle w:val="a3"/>
        <w:numPr>
          <w:ilvl w:val="0"/>
          <w:numId w:val="4"/>
        </w:numPr>
        <w:ind w:leftChars="0"/>
        <w:jc w:val="left"/>
        <w:rPr>
          <w:sz w:val="24"/>
          <w:szCs w:val="24"/>
        </w:rPr>
      </w:pPr>
      <w:r>
        <w:rPr>
          <w:rFonts w:hint="eastAsia"/>
          <w:sz w:val="24"/>
          <w:szCs w:val="24"/>
        </w:rPr>
        <w:t>落札者の決定方法</w:t>
      </w:r>
    </w:p>
    <w:p w:rsidR="00105DBA" w:rsidRDefault="00105DBA" w:rsidP="00105DBA">
      <w:pPr>
        <w:pStyle w:val="a3"/>
        <w:ind w:leftChars="0" w:left="945"/>
        <w:jc w:val="left"/>
        <w:rPr>
          <w:sz w:val="24"/>
          <w:szCs w:val="24"/>
        </w:rPr>
      </w:pPr>
      <w:r>
        <w:rPr>
          <w:rFonts w:hint="eastAsia"/>
          <w:sz w:val="24"/>
          <w:szCs w:val="24"/>
        </w:rPr>
        <w:t>最低制限価格を設定した場合</w:t>
      </w:r>
    </w:p>
    <w:p w:rsidR="00105DBA" w:rsidRDefault="00105DBA" w:rsidP="00105DBA">
      <w:pPr>
        <w:pStyle w:val="a3"/>
        <w:ind w:leftChars="0" w:left="945"/>
        <w:jc w:val="left"/>
        <w:rPr>
          <w:sz w:val="24"/>
          <w:szCs w:val="24"/>
        </w:rPr>
      </w:pPr>
      <w:r>
        <w:rPr>
          <w:rFonts w:hint="eastAsia"/>
          <w:sz w:val="24"/>
          <w:szCs w:val="24"/>
        </w:rPr>
        <w:t xml:space="preserve">　入札の結果、予定価格の制限の範囲内の価格で有効な入札を行った者のうち、最低価格の入札者を落札候補者とし、入札参加資格要件を満たしている場合には、当該落札候補者を落札者とする。満たしていない場合には、次順位者から順</w:t>
      </w:r>
      <w:r>
        <w:rPr>
          <w:rFonts w:hint="eastAsia"/>
          <w:sz w:val="24"/>
          <w:szCs w:val="24"/>
        </w:rPr>
        <w:lastRenderedPageBreak/>
        <w:t>次審査を行い適格者が確認できるまで行うものとする。</w:t>
      </w:r>
    </w:p>
    <w:p w:rsidR="00105DBA" w:rsidRDefault="004051E7" w:rsidP="00105DBA">
      <w:pPr>
        <w:jc w:val="left"/>
        <w:rPr>
          <w:sz w:val="24"/>
          <w:szCs w:val="24"/>
        </w:rPr>
      </w:pPr>
      <w:r>
        <w:rPr>
          <w:rFonts w:hint="eastAsia"/>
          <w:sz w:val="24"/>
          <w:szCs w:val="24"/>
        </w:rPr>
        <w:t>４</w:t>
      </w:r>
      <w:r w:rsidR="00105DBA">
        <w:rPr>
          <w:rFonts w:hint="eastAsia"/>
          <w:sz w:val="24"/>
          <w:szCs w:val="24"/>
        </w:rPr>
        <w:t xml:space="preserve">　積算内訳書</w:t>
      </w:r>
    </w:p>
    <w:p w:rsidR="00105DBA" w:rsidRDefault="00105DBA" w:rsidP="00105DBA">
      <w:pPr>
        <w:pStyle w:val="a3"/>
        <w:numPr>
          <w:ilvl w:val="0"/>
          <w:numId w:val="5"/>
        </w:numPr>
        <w:ind w:leftChars="0"/>
        <w:jc w:val="left"/>
        <w:rPr>
          <w:sz w:val="24"/>
          <w:szCs w:val="24"/>
        </w:rPr>
      </w:pPr>
      <w:r w:rsidRPr="00083A01">
        <w:rPr>
          <w:rFonts w:hint="eastAsia"/>
          <w:sz w:val="24"/>
          <w:szCs w:val="24"/>
        </w:rPr>
        <w:t>入札に際し、入札書に記載される入札金額に対応した積算内訳書を提出すること。</w:t>
      </w:r>
    </w:p>
    <w:p w:rsidR="00105DBA" w:rsidRPr="00083A01" w:rsidRDefault="00105DBA" w:rsidP="00105DBA">
      <w:pPr>
        <w:pStyle w:val="a3"/>
        <w:ind w:leftChars="0" w:left="945"/>
        <w:jc w:val="left"/>
        <w:rPr>
          <w:sz w:val="24"/>
          <w:szCs w:val="24"/>
        </w:rPr>
      </w:pPr>
      <w:r>
        <w:rPr>
          <w:rFonts w:hint="eastAsia"/>
          <w:sz w:val="24"/>
          <w:szCs w:val="24"/>
        </w:rPr>
        <w:t>・積算内訳書の指定様式は、</w:t>
      </w:r>
      <w:r w:rsidR="004051E7">
        <w:rPr>
          <w:rFonts w:hint="eastAsia"/>
          <w:sz w:val="24"/>
          <w:szCs w:val="24"/>
        </w:rPr>
        <w:t>栃木県後期高齢者医療広域連合</w:t>
      </w:r>
      <w:r>
        <w:rPr>
          <w:rFonts w:hint="eastAsia"/>
          <w:sz w:val="24"/>
          <w:szCs w:val="24"/>
        </w:rPr>
        <w:t>ホームページからダウンロードすること。</w:t>
      </w:r>
    </w:p>
    <w:p w:rsidR="00105DBA" w:rsidRDefault="00105DBA" w:rsidP="00105DBA">
      <w:pPr>
        <w:pStyle w:val="a3"/>
        <w:numPr>
          <w:ilvl w:val="0"/>
          <w:numId w:val="5"/>
        </w:numPr>
        <w:ind w:leftChars="0"/>
        <w:jc w:val="left"/>
        <w:rPr>
          <w:sz w:val="24"/>
          <w:szCs w:val="24"/>
        </w:rPr>
      </w:pPr>
      <w:r>
        <w:rPr>
          <w:rFonts w:hint="eastAsia"/>
          <w:sz w:val="24"/>
          <w:szCs w:val="24"/>
        </w:rPr>
        <w:t>積算内訳書は、入札書を提出する際に提出すること。</w:t>
      </w:r>
    </w:p>
    <w:p w:rsidR="00105DBA" w:rsidRDefault="00105DBA" w:rsidP="004051E7">
      <w:pPr>
        <w:ind w:leftChars="307" w:left="885" w:hangingChars="100" w:hanging="240"/>
        <w:jc w:val="left"/>
        <w:rPr>
          <w:sz w:val="24"/>
          <w:szCs w:val="24"/>
        </w:rPr>
      </w:pPr>
      <w:r>
        <w:rPr>
          <w:rFonts w:hint="eastAsia"/>
          <w:sz w:val="24"/>
          <w:szCs w:val="24"/>
        </w:rPr>
        <w:t>ア　積算内訳書は、設計書と同項目とし、記載内容は金額等を明らかにしたものであること。</w:t>
      </w:r>
    </w:p>
    <w:p w:rsidR="00105DBA" w:rsidRDefault="00105DBA" w:rsidP="004051E7">
      <w:pPr>
        <w:ind w:firstLineChars="250" w:firstLine="600"/>
        <w:jc w:val="left"/>
        <w:rPr>
          <w:sz w:val="24"/>
          <w:szCs w:val="24"/>
        </w:rPr>
      </w:pPr>
      <w:r>
        <w:rPr>
          <w:rFonts w:hint="eastAsia"/>
          <w:sz w:val="24"/>
          <w:szCs w:val="24"/>
        </w:rPr>
        <w:t>イ　積算内訳書は、参考図書として積算の根拠確認から提出を求めるもの</w:t>
      </w:r>
    </w:p>
    <w:p w:rsidR="00105DBA" w:rsidRDefault="00105DBA" w:rsidP="00105DBA">
      <w:pPr>
        <w:ind w:leftChars="7" w:left="15" w:firstLineChars="400" w:firstLine="960"/>
        <w:jc w:val="left"/>
        <w:rPr>
          <w:sz w:val="24"/>
          <w:szCs w:val="24"/>
        </w:rPr>
      </w:pPr>
      <w:r>
        <w:rPr>
          <w:rFonts w:hint="eastAsia"/>
          <w:sz w:val="24"/>
          <w:szCs w:val="24"/>
        </w:rPr>
        <w:t>である。</w:t>
      </w:r>
    </w:p>
    <w:p w:rsidR="00105DBA" w:rsidRDefault="00FB3272" w:rsidP="00105DBA">
      <w:pPr>
        <w:jc w:val="left"/>
        <w:rPr>
          <w:sz w:val="24"/>
          <w:szCs w:val="24"/>
        </w:rPr>
      </w:pPr>
      <w:r>
        <w:rPr>
          <w:rFonts w:hint="eastAsia"/>
          <w:sz w:val="24"/>
          <w:szCs w:val="24"/>
        </w:rPr>
        <w:t>５</w:t>
      </w:r>
      <w:r w:rsidR="00105DBA">
        <w:rPr>
          <w:rFonts w:hint="eastAsia"/>
          <w:sz w:val="24"/>
          <w:szCs w:val="24"/>
        </w:rPr>
        <w:t xml:space="preserve">　入札保証金</w:t>
      </w:r>
    </w:p>
    <w:p w:rsidR="00105DBA" w:rsidRDefault="00105DBA" w:rsidP="00105DBA">
      <w:pPr>
        <w:jc w:val="left"/>
        <w:rPr>
          <w:sz w:val="24"/>
          <w:szCs w:val="24"/>
        </w:rPr>
      </w:pPr>
      <w:r>
        <w:rPr>
          <w:rFonts w:hint="eastAsia"/>
          <w:sz w:val="24"/>
          <w:szCs w:val="24"/>
        </w:rPr>
        <w:t xml:space="preserve">　　　免除</w:t>
      </w:r>
    </w:p>
    <w:p w:rsidR="00105DBA" w:rsidRDefault="00FB3272" w:rsidP="00105DBA">
      <w:pPr>
        <w:jc w:val="left"/>
        <w:rPr>
          <w:sz w:val="24"/>
          <w:szCs w:val="24"/>
        </w:rPr>
      </w:pPr>
      <w:r>
        <w:rPr>
          <w:rFonts w:hint="eastAsia"/>
          <w:sz w:val="24"/>
          <w:szCs w:val="24"/>
        </w:rPr>
        <w:t>６</w:t>
      </w:r>
      <w:r w:rsidR="00105DBA">
        <w:rPr>
          <w:rFonts w:hint="eastAsia"/>
          <w:sz w:val="24"/>
          <w:szCs w:val="24"/>
        </w:rPr>
        <w:t xml:space="preserve">　契約保証金</w:t>
      </w:r>
    </w:p>
    <w:p w:rsidR="00105DBA" w:rsidRDefault="00105DBA" w:rsidP="00550A61">
      <w:pPr>
        <w:ind w:left="283" w:hangingChars="118" w:hanging="283"/>
        <w:jc w:val="left"/>
        <w:rPr>
          <w:sz w:val="24"/>
          <w:szCs w:val="24"/>
        </w:rPr>
      </w:pPr>
      <w:r>
        <w:rPr>
          <w:rFonts w:hint="eastAsia"/>
          <w:sz w:val="24"/>
          <w:szCs w:val="24"/>
        </w:rPr>
        <w:t xml:space="preserve">　　</w:t>
      </w:r>
      <w:r w:rsidR="00FB3272">
        <w:rPr>
          <w:rFonts w:hint="eastAsia"/>
          <w:sz w:val="24"/>
          <w:szCs w:val="24"/>
        </w:rPr>
        <w:t xml:space="preserve">　免除</w:t>
      </w:r>
    </w:p>
    <w:p w:rsidR="00105DBA" w:rsidRDefault="00FB3272" w:rsidP="00FB3272">
      <w:pPr>
        <w:jc w:val="left"/>
        <w:rPr>
          <w:sz w:val="24"/>
          <w:szCs w:val="24"/>
        </w:rPr>
      </w:pPr>
      <w:r>
        <w:rPr>
          <w:rFonts w:hint="eastAsia"/>
          <w:sz w:val="24"/>
          <w:szCs w:val="24"/>
        </w:rPr>
        <w:t>７</w:t>
      </w:r>
      <w:r w:rsidR="00105DBA">
        <w:rPr>
          <w:rFonts w:hint="eastAsia"/>
          <w:sz w:val="24"/>
          <w:szCs w:val="24"/>
        </w:rPr>
        <w:t xml:space="preserve">　契約書作成</w:t>
      </w:r>
    </w:p>
    <w:p w:rsidR="00105DBA" w:rsidRDefault="00105DBA" w:rsidP="00105DBA">
      <w:pPr>
        <w:ind w:left="225"/>
        <w:jc w:val="left"/>
        <w:rPr>
          <w:sz w:val="24"/>
          <w:szCs w:val="24"/>
        </w:rPr>
      </w:pPr>
      <w:r>
        <w:rPr>
          <w:rFonts w:hint="eastAsia"/>
          <w:sz w:val="24"/>
          <w:szCs w:val="24"/>
        </w:rPr>
        <w:t xml:space="preserve">　　要する。</w:t>
      </w:r>
    </w:p>
    <w:p w:rsidR="00105DBA" w:rsidRDefault="00FB3272" w:rsidP="00FB3272">
      <w:pPr>
        <w:jc w:val="left"/>
        <w:rPr>
          <w:sz w:val="24"/>
          <w:szCs w:val="24"/>
        </w:rPr>
      </w:pPr>
      <w:r>
        <w:rPr>
          <w:rFonts w:hint="eastAsia"/>
          <w:sz w:val="24"/>
          <w:szCs w:val="24"/>
        </w:rPr>
        <w:t>９</w:t>
      </w:r>
      <w:r w:rsidR="00105DBA">
        <w:rPr>
          <w:rFonts w:hint="eastAsia"/>
          <w:sz w:val="24"/>
          <w:szCs w:val="24"/>
        </w:rPr>
        <w:t xml:space="preserve">　入札の執行中止等</w:t>
      </w:r>
    </w:p>
    <w:p w:rsidR="00105DBA" w:rsidRDefault="00105DBA" w:rsidP="00105DBA">
      <w:pPr>
        <w:ind w:leftChars="107" w:left="465" w:hangingChars="100" w:hanging="240"/>
        <w:jc w:val="left"/>
        <w:rPr>
          <w:sz w:val="24"/>
          <w:szCs w:val="24"/>
        </w:rPr>
      </w:pPr>
      <w:r>
        <w:rPr>
          <w:rFonts w:hint="eastAsia"/>
          <w:sz w:val="24"/>
          <w:szCs w:val="24"/>
        </w:rPr>
        <w:t xml:space="preserve">　　不正な行為等により必要があると認められるときは、入札の延期及び中止又は入札の取消しをすることがある。この場合においては、見積料、郵送料その他積算に関するいかなる費用も補償しないものとする。</w:t>
      </w:r>
    </w:p>
    <w:p w:rsidR="00105DBA" w:rsidRDefault="00FB3272" w:rsidP="00FB3272">
      <w:pPr>
        <w:jc w:val="left"/>
        <w:rPr>
          <w:sz w:val="24"/>
          <w:szCs w:val="24"/>
        </w:rPr>
      </w:pPr>
      <w:r>
        <w:rPr>
          <w:rFonts w:hint="eastAsia"/>
          <w:sz w:val="24"/>
          <w:szCs w:val="24"/>
        </w:rPr>
        <w:t>1</w:t>
      </w:r>
      <w:r>
        <w:rPr>
          <w:sz w:val="24"/>
          <w:szCs w:val="24"/>
        </w:rPr>
        <w:t>0</w:t>
      </w:r>
      <w:r w:rsidR="00105DBA">
        <w:rPr>
          <w:rFonts w:hint="eastAsia"/>
          <w:sz w:val="24"/>
          <w:szCs w:val="24"/>
        </w:rPr>
        <w:t xml:space="preserve">　入札の無効</w:t>
      </w:r>
    </w:p>
    <w:p w:rsidR="00105DBA" w:rsidRPr="00A10192" w:rsidRDefault="00105DBA" w:rsidP="00105DBA">
      <w:pPr>
        <w:pStyle w:val="a3"/>
        <w:numPr>
          <w:ilvl w:val="0"/>
          <w:numId w:val="7"/>
        </w:numPr>
        <w:ind w:leftChars="0"/>
        <w:jc w:val="left"/>
        <w:rPr>
          <w:sz w:val="24"/>
          <w:szCs w:val="24"/>
        </w:rPr>
      </w:pPr>
      <w:r w:rsidRPr="00A10192">
        <w:rPr>
          <w:rFonts w:hint="eastAsia"/>
          <w:sz w:val="24"/>
          <w:szCs w:val="24"/>
        </w:rPr>
        <w:t>次の各号のいずれかに該当する場合は、当該入札者の入札を無効とする。</w:t>
      </w:r>
    </w:p>
    <w:p w:rsidR="00105DBA" w:rsidRDefault="00105DBA" w:rsidP="00105DBA">
      <w:pPr>
        <w:ind w:left="450"/>
        <w:jc w:val="left"/>
        <w:rPr>
          <w:sz w:val="24"/>
          <w:szCs w:val="24"/>
        </w:rPr>
      </w:pPr>
      <w:r>
        <w:rPr>
          <w:rFonts w:hint="eastAsia"/>
          <w:sz w:val="24"/>
          <w:szCs w:val="24"/>
        </w:rPr>
        <w:t xml:space="preserve">　　ア　入札者が同一の入札について、</w:t>
      </w:r>
      <w:r>
        <w:rPr>
          <w:rFonts w:hint="eastAsia"/>
          <w:sz w:val="24"/>
          <w:szCs w:val="24"/>
        </w:rPr>
        <w:t>2</w:t>
      </w:r>
      <w:r w:rsidR="00CA3641">
        <w:rPr>
          <w:rFonts w:hint="eastAsia"/>
          <w:sz w:val="24"/>
          <w:szCs w:val="24"/>
        </w:rPr>
        <w:t>以上の入札書を提出したとき</w:t>
      </w:r>
    </w:p>
    <w:p w:rsidR="00105DBA" w:rsidRDefault="00105DBA" w:rsidP="00105DBA">
      <w:pPr>
        <w:ind w:leftChars="214" w:left="1409" w:hangingChars="400" w:hanging="960"/>
        <w:jc w:val="left"/>
        <w:rPr>
          <w:sz w:val="24"/>
          <w:szCs w:val="24"/>
        </w:rPr>
      </w:pPr>
      <w:r>
        <w:rPr>
          <w:rFonts w:hint="eastAsia"/>
          <w:sz w:val="24"/>
          <w:szCs w:val="24"/>
        </w:rPr>
        <w:t xml:space="preserve">　　イ　積算内訳書の提出が義</w:t>
      </w:r>
      <w:r w:rsidR="00CA3641">
        <w:rPr>
          <w:rFonts w:hint="eastAsia"/>
          <w:sz w:val="24"/>
          <w:szCs w:val="24"/>
        </w:rPr>
        <w:t>務付けられている入札で、積算内訳書が提出されていない入札</w:t>
      </w:r>
    </w:p>
    <w:p w:rsidR="00105DBA" w:rsidRDefault="00105DBA" w:rsidP="00105DBA">
      <w:pPr>
        <w:ind w:leftChars="214" w:left="1169" w:hangingChars="300" w:hanging="720"/>
        <w:jc w:val="left"/>
        <w:rPr>
          <w:sz w:val="24"/>
          <w:szCs w:val="24"/>
        </w:rPr>
      </w:pPr>
      <w:r>
        <w:rPr>
          <w:rFonts w:hint="eastAsia"/>
          <w:sz w:val="24"/>
          <w:szCs w:val="24"/>
        </w:rPr>
        <w:t xml:space="preserve">　　ウ　入札書に記載された案件名が不明瞭で判断できない入札</w:t>
      </w:r>
    </w:p>
    <w:p w:rsidR="00105DBA" w:rsidRDefault="00CA3641" w:rsidP="00105DBA">
      <w:pPr>
        <w:ind w:leftChars="214" w:left="1169" w:hangingChars="300" w:hanging="720"/>
        <w:jc w:val="left"/>
        <w:rPr>
          <w:sz w:val="24"/>
          <w:szCs w:val="24"/>
        </w:rPr>
      </w:pPr>
      <w:r>
        <w:rPr>
          <w:rFonts w:hint="eastAsia"/>
          <w:sz w:val="24"/>
          <w:szCs w:val="24"/>
        </w:rPr>
        <w:t xml:space="preserve">　　エ　入札書と積算内訳書の案件名が異なる入札</w:t>
      </w:r>
    </w:p>
    <w:p w:rsidR="00105DBA" w:rsidRDefault="00105DBA" w:rsidP="00105DBA">
      <w:pPr>
        <w:ind w:leftChars="214" w:left="1169" w:hangingChars="300" w:hanging="720"/>
        <w:jc w:val="left"/>
        <w:rPr>
          <w:sz w:val="24"/>
          <w:szCs w:val="24"/>
        </w:rPr>
      </w:pPr>
      <w:r>
        <w:rPr>
          <w:rFonts w:hint="eastAsia"/>
          <w:sz w:val="24"/>
          <w:szCs w:val="24"/>
        </w:rPr>
        <w:t xml:space="preserve">　　オ　入札書と積算内訳書の金額が異なる入札</w:t>
      </w:r>
    </w:p>
    <w:p w:rsidR="00105DBA" w:rsidRDefault="00105DBA" w:rsidP="00105DBA">
      <w:pPr>
        <w:ind w:leftChars="214" w:left="1169" w:hangingChars="300" w:hanging="720"/>
        <w:jc w:val="left"/>
        <w:rPr>
          <w:sz w:val="24"/>
          <w:szCs w:val="24"/>
        </w:rPr>
      </w:pPr>
      <w:r>
        <w:rPr>
          <w:rFonts w:hint="eastAsia"/>
          <w:sz w:val="24"/>
          <w:szCs w:val="24"/>
        </w:rPr>
        <w:t xml:space="preserve">　　カ　入札書の金額を訂正した入札</w:t>
      </w:r>
    </w:p>
    <w:p w:rsidR="00105DBA" w:rsidRDefault="00105DBA" w:rsidP="00105DBA">
      <w:pPr>
        <w:ind w:leftChars="214" w:left="1169" w:hangingChars="300" w:hanging="720"/>
        <w:jc w:val="left"/>
        <w:rPr>
          <w:sz w:val="24"/>
          <w:szCs w:val="24"/>
        </w:rPr>
      </w:pPr>
      <w:r>
        <w:rPr>
          <w:rFonts w:hint="eastAsia"/>
          <w:sz w:val="24"/>
          <w:szCs w:val="24"/>
        </w:rPr>
        <w:t xml:space="preserve">　　キ　代表者の記名押印がない入札</w:t>
      </w:r>
    </w:p>
    <w:p w:rsidR="00105DBA" w:rsidRDefault="00105DBA" w:rsidP="00105DBA">
      <w:pPr>
        <w:ind w:leftChars="214" w:left="1169" w:hangingChars="300" w:hanging="720"/>
        <w:jc w:val="left"/>
        <w:rPr>
          <w:sz w:val="24"/>
          <w:szCs w:val="24"/>
        </w:rPr>
      </w:pPr>
      <w:r>
        <w:rPr>
          <w:rFonts w:hint="eastAsia"/>
          <w:sz w:val="24"/>
          <w:szCs w:val="24"/>
        </w:rPr>
        <w:t xml:space="preserve">　　ク　予定価格を超える金額の入札</w:t>
      </w:r>
    </w:p>
    <w:p w:rsidR="00105DBA" w:rsidRDefault="00105DBA" w:rsidP="00105DBA">
      <w:pPr>
        <w:ind w:leftChars="214" w:left="1169" w:hangingChars="300" w:hanging="720"/>
        <w:jc w:val="left"/>
        <w:rPr>
          <w:sz w:val="24"/>
          <w:szCs w:val="24"/>
        </w:rPr>
      </w:pPr>
      <w:r>
        <w:rPr>
          <w:rFonts w:hint="eastAsia"/>
          <w:sz w:val="24"/>
          <w:szCs w:val="24"/>
        </w:rPr>
        <w:t xml:space="preserve">　　</w:t>
      </w:r>
      <w:r w:rsidR="00FB3272">
        <w:rPr>
          <w:rFonts w:hint="eastAsia"/>
          <w:sz w:val="24"/>
          <w:szCs w:val="24"/>
        </w:rPr>
        <w:t>ケ</w:t>
      </w:r>
      <w:r>
        <w:rPr>
          <w:rFonts w:hint="eastAsia"/>
          <w:sz w:val="24"/>
          <w:szCs w:val="24"/>
        </w:rPr>
        <w:t xml:space="preserve">　入札に際し虚偽又は不正の行為があったとき。</w:t>
      </w:r>
    </w:p>
    <w:p w:rsidR="00105DBA" w:rsidRDefault="00105DBA" w:rsidP="00105DBA">
      <w:pPr>
        <w:ind w:leftChars="214" w:left="1169" w:hangingChars="300" w:hanging="720"/>
        <w:jc w:val="left"/>
        <w:rPr>
          <w:sz w:val="24"/>
          <w:szCs w:val="24"/>
        </w:rPr>
      </w:pPr>
      <w:r>
        <w:rPr>
          <w:rFonts w:hint="eastAsia"/>
          <w:sz w:val="24"/>
          <w:szCs w:val="24"/>
        </w:rPr>
        <w:t xml:space="preserve">　　</w:t>
      </w:r>
      <w:r w:rsidR="00FB3272">
        <w:rPr>
          <w:rFonts w:hint="eastAsia"/>
          <w:sz w:val="24"/>
          <w:szCs w:val="24"/>
        </w:rPr>
        <w:t>コ</w:t>
      </w:r>
      <w:r>
        <w:rPr>
          <w:rFonts w:hint="eastAsia"/>
          <w:sz w:val="24"/>
          <w:szCs w:val="24"/>
        </w:rPr>
        <w:t xml:space="preserve">　その他、入札に関する条件に違反したとき。</w:t>
      </w:r>
    </w:p>
    <w:p w:rsidR="00105DBA" w:rsidRDefault="00105DBA" w:rsidP="00105DBA">
      <w:pPr>
        <w:pStyle w:val="a3"/>
        <w:numPr>
          <w:ilvl w:val="0"/>
          <w:numId w:val="7"/>
        </w:numPr>
        <w:ind w:leftChars="0"/>
        <w:jc w:val="left"/>
        <w:rPr>
          <w:sz w:val="24"/>
          <w:szCs w:val="24"/>
        </w:rPr>
      </w:pPr>
      <w:r>
        <w:rPr>
          <w:rFonts w:hint="eastAsia"/>
          <w:sz w:val="24"/>
          <w:szCs w:val="24"/>
        </w:rPr>
        <w:t>参加申請書を提出した後に指名停止を受けて、入札時点において指名停止期間中であるものなど、入札時点において、</w:t>
      </w:r>
      <w:r>
        <w:rPr>
          <w:rFonts w:hint="eastAsia"/>
          <w:sz w:val="24"/>
          <w:szCs w:val="24"/>
        </w:rPr>
        <w:t>1</w:t>
      </w:r>
      <w:r>
        <w:rPr>
          <w:rFonts w:hint="eastAsia"/>
          <w:sz w:val="24"/>
          <w:szCs w:val="24"/>
        </w:rPr>
        <w:t>の資格要件及び入札公告に掲げる資格のない者のした入札は無効とする。</w:t>
      </w:r>
    </w:p>
    <w:p w:rsidR="00FB3272" w:rsidRDefault="00FB3272" w:rsidP="00FB3272">
      <w:pPr>
        <w:pStyle w:val="a3"/>
        <w:ind w:leftChars="0" w:left="1170"/>
        <w:jc w:val="left"/>
        <w:rPr>
          <w:rFonts w:hint="eastAsia"/>
          <w:sz w:val="24"/>
          <w:szCs w:val="24"/>
        </w:rPr>
      </w:pPr>
    </w:p>
    <w:p w:rsidR="00105DBA" w:rsidRDefault="00105DBA" w:rsidP="00105DBA">
      <w:pPr>
        <w:jc w:val="left"/>
        <w:rPr>
          <w:sz w:val="24"/>
          <w:szCs w:val="24"/>
        </w:rPr>
      </w:pPr>
      <w:r>
        <w:rPr>
          <w:rFonts w:hint="eastAsia"/>
          <w:sz w:val="24"/>
          <w:szCs w:val="24"/>
        </w:rPr>
        <w:lastRenderedPageBreak/>
        <w:t>1</w:t>
      </w:r>
      <w:r w:rsidR="00FB3272">
        <w:rPr>
          <w:sz w:val="24"/>
          <w:szCs w:val="24"/>
        </w:rPr>
        <w:t>1</w:t>
      </w:r>
      <w:r>
        <w:rPr>
          <w:rFonts w:hint="eastAsia"/>
          <w:sz w:val="24"/>
          <w:szCs w:val="24"/>
        </w:rPr>
        <w:t xml:space="preserve">　同価入札</w:t>
      </w:r>
    </w:p>
    <w:p w:rsidR="00105DBA" w:rsidRDefault="00105DBA" w:rsidP="00105DBA">
      <w:pPr>
        <w:ind w:left="480" w:hangingChars="200" w:hanging="480"/>
        <w:jc w:val="left"/>
        <w:rPr>
          <w:sz w:val="24"/>
          <w:szCs w:val="24"/>
        </w:rPr>
      </w:pPr>
      <w:r>
        <w:rPr>
          <w:rFonts w:hint="eastAsia"/>
          <w:sz w:val="24"/>
          <w:szCs w:val="24"/>
        </w:rPr>
        <w:t xml:space="preserve">　　最低価格者が</w:t>
      </w:r>
      <w:r>
        <w:rPr>
          <w:rFonts w:hint="eastAsia"/>
          <w:sz w:val="24"/>
          <w:szCs w:val="24"/>
        </w:rPr>
        <w:t>2</w:t>
      </w:r>
      <w:r>
        <w:rPr>
          <w:rFonts w:hint="eastAsia"/>
          <w:sz w:val="24"/>
          <w:szCs w:val="24"/>
        </w:rPr>
        <w:t>者以上になった場合には、くじにより落札候補者を決定するものと</w:t>
      </w:r>
    </w:p>
    <w:p w:rsidR="00105DBA" w:rsidRDefault="00105DBA" w:rsidP="00105DBA">
      <w:pPr>
        <w:ind w:leftChars="-100" w:left="-210" w:firstLineChars="200" w:firstLine="480"/>
        <w:jc w:val="left"/>
        <w:rPr>
          <w:sz w:val="24"/>
          <w:szCs w:val="24"/>
        </w:rPr>
      </w:pPr>
      <w:r>
        <w:rPr>
          <w:rFonts w:hint="eastAsia"/>
          <w:sz w:val="24"/>
          <w:szCs w:val="24"/>
        </w:rPr>
        <w:t>する。なお、</w:t>
      </w:r>
      <w:r w:rsidR="00FB3272">
        <w:rPr>
          <w:rFonts w:hint="eastAsia"/>
          <w:sz w:val="24"/>
          <w:szCs w:val="24"/>
        </w:rPr>
        <w:t>くじは</w:t>
      </w:r>
      <w:r>
        <w:rPr>
          <w:rFonts w:hint="eastAsia"/>
          <w:sz w:val="24"/>
          <w:szCs w:val="24"/>
        </w:rPr>
        <w:t>当該入札に関係ない職員がくじを引くものとする。</w:t>
      </w:r>
    </w:p>
    <w:p w:rsidR="00105DBA" w:rsidRDefault="00105DBA" w:rsidP="00105DBA">
      <w:pPr>
        <w:ind w:left="480" w:hangingChars="200" w:hanging="480"/>
        <w:jc w:val="left"/>
        <w:rPr>
          <w:sz w:val="24"/>
          <w:szCs w:val="24"/>
        </w:rPr>
      </w:pPr>
      <w:r>
        <w:rPr>
          <w:rFonts w:hint="eastAsia"/>
          <w:sz w:val="24"/>
          <w:szCs w:val="24"/>
        </w:rPr>
        <w:t>1</w:t>
      </w:r>
      <w:r w:rsidR="00FB3272">
        <w:rPr>
          <w:sz w:val="24"/>
          <w:szCs w:val="24"/>
        </w:rPr>
        <w:t>2</w:t>
      </w:r>
      <w:r>
        <w:rPr>
          <w:rFonts w:hint="eastAsia"/>
          <w:sz w:val="24"/>
          <w:szCs w:val="24"/>
        </w:rPr>
        <w:t xml:space="preserve">　支払い条件</w:t>
      </w:r>
    </w:p>
    <w:p w:rsidR="00105DBA" w:rsidRPr="00FB3272" w:rsidRDefault="00FB3272" w:rsidP="00FB3272">
      <w:pPr>
        <w:jc w:val="left"/>
        <w:rPr>
          <w:rFonts w:hint="eastAsia"/>
          <w:sz w:val="24"/>
          <w:szCs w:val="24"/>
        </w:rPr>
      </w:pPr>
      <w:r>
        <w:rPr>
          <w:rFonts w:hint="eastAsia"/>
          <w:sz w:val="24"/>
          <w:szCs w:val="24"/>
        </w:rPr>
        <w:t xml:space="preserve">　　精算払い（完了後一括）とする。</w:t>
      </w:r>
    </w:p>
    <w:p w:rsidR="00741B13" w:rsidRPr="002E3DF8" w:rsidRDefault="00105DBA" w:rsidP="002E3DF8">
      <w:pPr>
        <w:jc w:val="left"/>
        <w:rPr>
          <w:sz w:val="24"/>
          <w:szCs w:val="24"/>
        </w:rPr>
      </w:pPr>
      <w:r>
        <w:rPr>
          <w:rFonts w:hint="eastAsia"/>
          <w:sz w:val="24"/>
          <w:szCs w:val="24"/>
        </w:rPr>
        <w:t>1</w:t>
      </w:r>
      <w:r w:rsidR="00FB3272">
        <w:rPr>
          <w:sz w:val="24"/>
          <w:szCs w:val="24"/>
        </w:rPr>
        <w:t>3</w:t>
      </w:r>
      <w:r>
        <w:rPr>
          <w:rFonts w:hint="eastAsia"/>
          <w:sz w:val="24"/>
          <w:szCs w:val="24"/>
        </w:rPr>
        <w:t xml:space="preserve">　その他</w:t>
      </w:r>
    </w:p>
    <w:p w:rsidR="00105DBA" w:rsidRDefault="00105DBA" w:rsidP="00105DBA">
      <w:pPr>
        <w:pStyle w:val="a3"/>
        <w:numPr>
          <w:ilvl w:val="0"/>
          <w:numId w:val="11"/>
        </w:numPr>
        <w:ind w:leftChars="0"/>
        <w:jc w:val="left"/>
        <w:rPr>
          <w:sz w:val="24"/>
          <w:szCs w:val="24"/>
        </w:rPr>
      </w:pPr>
      <w:r w:rsidRPr="00E83B58">
        <w:rPr>
          <w:rFonts w:hint="eastAsia"/>
          <w:sz w:val="24"/>
          <w:szCs w:val="24"/>
        </w:rPr>
        <w:t>入札に関し、入札執行前に談合情報が寄せられた場合、当初の予定どおり入札を執行し、その結果、情報どおりの業者が最低価格者となった場合には、落札者を保留し、当該入札参加者を対象に事情聴取を行う。</w:t>
      </w:r>
    </w:p>
    <w:p w:rsidR="00105DBA" w:rsidRPr="00E83B58" w:rsidRDefault="00105DBA" w:rsidP="00105DBA">
      <w:pPr>
        <w:pStyle w:val="a3"/>
        <w:ind w:leftChars="0" w:left="959"/>
        <w:jc w:val="left"/>
        <w:rPr>
          <w:sz w:val="24"/>
          <w:szCs w:val="24"/>
        </w:rPr>
      </w:pPr>
      <w:r>
        <w:rPr>
          <w:rFonts w:hint="eastAsia"/>
          <w:sz w:val="24"/>
          <w:szCs w:val="24"/>
        </w:rPr>
        <w:t>調査の結果、談合の事実が確認されれば、当該入札を無効とする。また、談合の事実が確認されなくても、当該入札を無効とすることがある。</w:t>
      </w:r>
    </w:p>
    <w:p w:rsidR="00105DBA" w:rsidRDefault="00105DBA" w:rsidP="00105DBA">
      <w:pPr>
        <w:pStyle w:val="a3"/>
        <w:numPr>
          <w:ilvl w:val="0"/>
          <w:numId w:val="11"/>
        </w:numPr>
        <w:ind w:leftChars="0"/>
        <w:jc w:val="left"/>
        <w:rPr>
          <w:sz w:val="24"/>
          <w:szCs w:val="24"/>
        </w:rPr>
      </w:pPr>
      <w:r>
        <w:rPr>
          <w:rFonts w:hint="eastAsia"/>
          <w:sz w:val="24"/>
          <w:szCs w:val="24"/>
        </w:rPr>
        <w:t>種々の状況からやむを得ないものとして承認された場合のほかは</w:t>
      </w:r>
      <w:r w:rsidR="00FB3272">
        <w:rPr>
          <w:rFonts w:hint="eastAsia"/>
          <w:sz w:val="24"/>
          <w:szCs w:val="24"/>
        </w:rPr>
        <w:t>入札書</w:t>
      </w:r>
      <w:r>
        <w:rPr>
          <w:rFonts w:hint="eastAsia"/>
          <w:sz w:val="24"/>
          <w:szCs w:val="24"/>
        </w:rPr>
        <w:t>、</w:t>
      </w:r>
      <w:r w:rsidR="00FB3272">
        <w:rPr>
          <w:rFonts w:hint="eastAsia"/>
          <w:sz w:val="24"/>
          <w:szCs w:val="24"/>
        </w:rPr>
        <w:t>積算訳書</w:t>
      </w:r>
      <w:r>
        <w:rPr>
          <w:rFonts w:hint="eastAsia"/>
          <w:sz w:val="24"/>
          <w:szCs w:val="24"/>
        </w:rPr>
        <w:t>の差し替えは認めない。</w:t>
      </w:r>
    </w:p>
    <w:p w:rsidR="00737448" w:rsidRPr="00212B09" w:rsidRDefault="00737448" w:rsidP="00212B09">
      <w:pPr>
        <w:ind w:left="239"/>
        <w:jc w:val="left"/>
        <w:rPr>
          <w:sz w:val="24"/>
          <w:szCs w:val="24"/>
        </w:rPr>
      </w:pPr>
    </w:p>
    <w:sectPr w:rsidR="00737448" w:rsidRPr="00212B09" w:rsidSect="00105D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7F4" w:rsidRDefault="00BC17F4" w:rsidP="00CD0247">
      <w:r>
        <w:separator/>
      </w:r>
    </w:p>
  </w:endnote>
  <w:endnote w:type="continuationSeparator" w:id="0">
    <w:p w:rsidR="00BC17F4" w:rsidRDefault="00BC17F4" w:rsidP="00CD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7F4" w:rsidRDefault="00BC17F4" w:rsidP="00CD0247">
      <w:r>
        <w:separator/>
      </w:r>
    </w:p>
  </w:footnote>
  <w:footnote w:type="continuationSeparator" w:id="0">
    <w:p w:rsidR="00BC17F4" w:rsidRDefault="00BC17F4" w:rsidP="00CD0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A25ED"/>
    <w:multiLevelType w:val="hybridMultilevel"/>
    <w:tmpl w:val="D3BEDD96"/>
    <w:lvl w:ilvl="0" w:tplc="1DB042A2">
      <w:start w:val="1"/>
      <w:numFmt w:val="decimalFullWidth"/>
      <w:lvlText w:val="（%1）"/>
      <w:lvlJc w:val="left"/>
      <w:pPr>
        <w:ind w:left="1586" w:hanging="720"/>
      </w:pPr>
      <w:rPr>
        <w:rFonts w:hint="default"/>
      </w:rPr>
    </w:lvl>
    <w:lvl w:ilvl="1" w:tplc="04090017" w:tentative="1">
      <w:start w:val="1"/>
      <w:numFmt w:val="aiueoFullWidth"/>
      <w:lvlText w:val="(%2)"/>
      <w:lvlJc w:val="left"/>
      <w:pPr>
        <w:ind w:left="1706" w:hanging="420"/>
      </w:pPr>
    </w:lvl>
    <w:lvl w:ilvl="2" w:tplc="04090011" w:tentative="1">
      <w:start w:val="1"/>
      <w:numFmt w:val="decimalEnclosedCircle"/>
      <w:lvlText w:val="%3"/>
      <w:lvlJc w:val="left"/>
      <w:pPr>
        <w:ind w:left="2126" w:hanging="420"/>
      </w:pPr>
    </w:lvl>
    <w:lvl w:ilvl="3" w:tplc="0409000F" w:tentative="1">
      <w:start w:val="1"/>
      <w:numFmt w:val="decimal"/>
      <w:lvlText w:val="%4."/>
      <w:lvlJc w:val="left"/>
      <w:pPr>
        <w:ind w:left="2546" w:hanging="420"/>
      </w:pPr>
    </w:lvl>
    <w:lvl w:ilvl="4" w:tplc="04090017" w:tentative="1">
      <w:start w:val="1"/>
      <w:numFmt w:val="aiueoFullWidth"/>
      <w:lvlText w:val="(%5)"/>
      <w:lvlJc w:val="left"/>
      <w:pPr>
        <w:ind w:left="2966" w:hanging="420"/>
      </w:pPr>
    </w:lvl>
    <w:lvl w:ilvl="5" w:tplc="04090011" w:tentative="1">
      <w:start w:val="1"/>
      <w:numFmt w:val="decimalEnclosedCircle"/>
      <w:lvlText w:val="%6"/>
      <w:lvlJc w:val="left"/>
      <w:pPr>
        <w:ind w:left="3386" w:hanging="420"/>
      </w:pPr>
    </w:lvl>
    <w:lvl w:ilvl="6" w:tplc="0409000F" w:tentative="1">
      <w:start w:val="1"/>
      <w:numFmt w:val="decimal"/>
      <w:lvlText w:val="%7."/>
      <w:lvlJc w:val="left"/>
      <w:pPr>
        <w:ind w:left="3806" w:hanging="420"/>
      </w:pPr>
    </w:lvl>
    <w:lvl w:ilvl="7" w:tplc="04090017" w:tentative="1">
      <w:start w:val="1"/>
      <w:numFmt w:val="aiueoFullWidth"/>
      <w:lvlText w:val="(%8)"/>
      <w:lvlJc w:val="left"/>
      <w:pPr>
        <w:ind w:left="4226" w:hanging="420"/>
      </w:pPr>
    </w:lvl>
    <w:lvl w:ilvl="8" w:tplc="04090011" w:tentative="1">
      <w:start w:val="1"/>
      <w:numFmt w:val="decimalEnclosedCircle"/>
      <w:lvlText w:val="%9"/>
      <w:lvlJc w:val="left"/>
      <w:pPr>
        <w:ind w:left="4646" w:hanging="420"/>
      </w:pPr>
    </w:lvl>
  </w:abstractNum>
  <w:abstractNum w:abstractNumId="1" w15:restartNumberingAfterBreak="0">
    <w:nsid w:val="2742524E"/>
    <w:multiLevelType w:val="hybridMultilevel"/>
    <w:tmpl w:val="FB4AE3B2"/>
    <w:lvl w:ilvl="0" w:tplc="8C7C1AD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8C376A8"/>
    <w:multiLevelType w:val="hybridMultilevel"/>
    <w:tmpl w:val="0A76B1A2"/>
    <w:lvl w:ilvl="0" w:tplc="C994ADC0">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298A509D"/>
    <w:multiLevelType w:val="hybridMultilevel"/>
    <w:tmpl w:val="5228183E"/>
    <w:lvl w:ilvl="0" w:tplc="F05A58A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322E3"/>
    <w:multiLevelType w:val="hybridMultilevel"/>
    <w:tmpl w:val="AF1649F2"/>
    <w:lvl w:ilvl="0" w:tplc="74CADAB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C259B3"/>
    <w:multiLevelType w:val="hybridMultilevel"/>
    <w:tmpl w:val="03448270"/>
    <w:lvl w:ilvl="0" w:tplc="5A9C65F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91D0458"/>
    <w:multiLevelType w:val="hybridMultilevel"/>
    <w:tmpl w:val="51FE021E"/>
    <w:lvl w:ilvl="0" w:tplc="C4904B9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3980BA1"/>
    <w:multiLevelType w:val="hybridMultilevel"/>
    <w:tmpl w:val="D0668070"/>
    <w:lvl w:ilvl="0" w:tplc="B5EA4EA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BB67AC2"/>
    <w:multiLevelType w:val="hybridMultilevel"/>
    <w:tmpl w:val="F8903BC4"/>
    <w:lvl w:ilvl="0" w:tplc="E16A4FF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83E39FC"/>
    <w:multiLevelType w:val="hybridMultilevel"/>
    <w:tmpl w:val="151E636A"/>
    <w:lvl w:ilvl="0" w:tplc="877068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8BB6BE0"/>
    <w:multiLevelType w:val="hybridMultilevel"/>
    <w:tmpl w:val="8A961246"/>
    <w:lvl w:ilvl="0" w:tplc="87344E6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5"/>
  </w:num>
  <w:num w:numId="2">
    <w:abstractNumId w:val="9"/>
  </w:num>
  <w:num w:numId="3">
    <w:abstractNumId w:val="1"/>
  </w:num>
  <w:num w:numId="4">
    <w:abstractNumId w:val="3"/>
  </w:num>
  <w:num w:numId="5">
    <w:abstractNumId w:val="8"/>
  </w:num>
  <w:num w:numId="6">
    <w:abstractNumId w:val="4"/>
  </w:num>
  <w:num w:numId="7">
    <w:abstractNumId w:val="10"/>
  </w:num>
  <w:num w:numId="8">
    <w:abstractNumId w:val="6"/>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DBA"/>
    <w:rsid w:val="00067324"/>
    <w:rsid w:val="00105DBA"/>
    <w:rsid w:val="00170728"/>
    <w:rsid w:val="00177F7A"/>
    <w:rsid w:val="001A74C9"/>
    <w:rsid w:val="001B12F2"/>
    <w:rsid w:val="001F66D6"/>
    <w:rsid w:val="002120E2"/>
    <w:rsid w:val="00212B09"/>
    <w:rsid w:val="002E3DF8"/>
    <w:rsid w:val="00394DFD"/>
    <w:rsid w:val="004051E7"/>
    <w:rsid w:val="00452172"/>
    <w:rsid w:val="00481479"/>
    <w:rsid w:val="00522AFE"/>
    <w:rsid w:val="00544010"/>
    <w:rsid w:val="00550A61"/>
    <w:rsid w:val="00573E2F"/>
    <w:rsid w:val="00603CB6"/>
    <w:rsid w:val="006B7426"/>
    <w:rsid w:val="006B7CEA"/>
    <w:rsid w:val="00710C68"/>
    <w:rsid w:val="00737448"/>
    <w:rsid w:val="00741B13"/>
    <w:rsid w:val="00772C0B"/>
    <w:rsid w:val="0084201C"/>
    <w:rsid w:val="00891652"/>
    <w:rsid w:val="008C6A60"/>
    <w:rsid w:val="008D12E9"/>
    <w:rsid w:val="009778C1"/>
    <w:rsid w:val="00A0777C"/>
    <w:rsid w:val="00A31B29"/>
    <w:rsid w:val="00AE7B6E"/>
    <w:rsid w:val="00B431E4"/>
    <w:rsid w:val="00B6362F"/>
    <w:rsid w:val="00BC17F4"/>
    <w:rsid w:val="00C619CA"/>
    <w:rsid w:val="00C64587"/>
    <w:rsid w:val="00CA3641"/>
    <w:rsid w:val="00CD0247"/>
    <w:rsid w:val="00D03A45"/>
    <w:rsid w:val="00D634BD"/>
    <w:rsid w:val="00D84455"/>
    <w:rsid w:val="00D95DDD"/>
    <w:rsid w:val="00D962AF"/>
    <w:rsid w:val="00DA3255"/>
    <w:rsid w:val="00E50C18"/>
    <w:rsid w:val="00EB1DD6"/>
    <w:rsid w:val="00F90182"/>
    <w:rsid w:val="00FB0076"/>
    <w:rsid w:val="00FB3272"/>
    <w:rsid w:val="00FD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3677E"/>
  <w15:docId w15:val="{C6013A61-AF08-4B92-B03A-5A3D6A34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5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BA"/>
    <w:pPr>
      <w:ind w:leftChars="400" w:left="840"/>
    </w:pPr>
  </w:style>
  <w:style w:type="character" w:styleId="a4">
    <w:name w:val="Hyperlink"/>
    <w:basedOn w:val="a0"/>
    <w:uiPriority w:val="99"/>
    <w:unhideWhenUsed/>
    <w:rsid w:val="00105DBA"/>
    <w:rPr>
      <w:color w:val="0000FF" w:themeColor="hyperlink"/>
      <w:u w:val="single"/>
    </w:rPr>
  </w:style>
  <w:style w:type="paragraph" w:styleId="a5">
    <w:name w:val="header"/>
    <w:basedOn w:val="a"/>
    <w:link w:val="a6"/>
    <w:uiPriority w:val="99"/>
    <w:unhideWhenUsed/>
    <w:rsid w:val="00CD0247"/>
    <w:pPr>
      <w:tabs>
        <w:tab w:val="center" w:pos="4252"/>
        <w:tab w:val="right" w:pos="8504"/>
      </w:tabs>
      <w:snapToGrid w:val="0"/>
    </w:pPr>
  </w:style>
  <w:style w:type="character" w:customStyle="1" w:styleId="a6">
    <w:name w:val="ヘッダー (文字)"/>
    <w:basedOn w:val="a0"/>
    <w:link w:val="a5"/>
    <w:uiPriority w:val="99"/>
    <w:rsid w:val="00CD0247"/>
  </w:style>
  <w:style w:type="paragraph" w:styleId="a7">
    <w:name w:val="footer"/>
    <w:basedOn w:val="a"/>
    <w:link w:val="a8"/>
    <w:uiPriority w:val="99"/>
    <w:unhideWhenUsed/>
    <w:rsid w:val="00CD0247"/>
    <w:pPr>
      <w:tabs>
        <w:tab w:val="center" w:pos="4252"/>
        <w:tab w:val="right" w:pos="8504"/>
      </w:tabs>
      <w:snapToGrid w:val="0"/>
    </w:pPr>
  </w:style>
  <w:style w:type="character" w:customStyle="1" w:styleId="a8">
    <w:name w:val="フッター (文字)"/>
    <w:basedOn w:val="a0"/>
    <w:link w:val="a7"/>
    <w:uiPriority w:val="99"/>
    <w:rsid w:val="00CD0247"/>
  </w:style>
  <w:style w:type="paragraph" w:styleId="a9">
    <w:name w:val="Balloon Text"/>
    <w:basedOn w:val="a"/>
    <w:link w:val="aa"/>
    <w:uiPriority w:val="99"/>
    <w:semiHidden/>
    <w:unhideWhenUsed/>
    <w:rsid w:val="008C6A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6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市貝町</dc:creator>
  <cp:keywords/>
  <dc:description/>
  <cp:lastModifiedBy>kobayashit</cp:lastModifiedBy>
  <cp:revision>2</cp:revision>
  <cp:lastPrinted>2019-09-18T23:53:00Z</cp:lastPrinted>
  <dcterms:created xsi:type="dcterms:W3CDTF">2023-03-30T00:49:00Z</dcterms:created>
  <dcterms:modified xsi:type="dcterms:W3CDTF">2023-03-30T00:49:00Z</dcterms:modified>
</cp:coreProperties>
</file>